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000B024D">
        <w:rPr>
          <w:rFonts w:ascii="Arial" w:hAnsi="Arial" w:cs="Arial"/>
          <w:sz w:val="20"/>
          <w:szCs w:val="20"/>
        </w:rPr>
        <w:t>CONADE 2013</w:t>
      </w:r>
      <w:r w:rsidR="00FE7F27">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CompraNet,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9D2359" w:rsidRPr="00653A6D" w:rsidTr="006C2DC1">
        <w:trPr>
          <w:trHeight w:val="914"/>
        </w:trPr>
        <w:tc>
          <w:tcPr>
            <w:tcW w:w="1418" w:type="dxa"/>
          </w:tcPr>
          <w:p w:rsidR="009D2359" w:rsidRDefault="009D2359" w:rsidP="001335DA">
            <w:pPr>
              <w:jc w:val="center"/>
              <w:rPr>
                <w:rFonts w:ascii="Arial" w:hAnsi="Arial" w:cs="Arial"/>
                <w:b/>
                <w:sz w:val="18"/>
                <w:szCs w:val="18"/>
              </w:rPr>
            </w:pPr>
          </w:p>
          <w:p w:rsidR="009D2359" w:rsidRDefault="009D2359" w:rsidP="00175E36">
            <w:pPr>
              <w:jc w:val="center"/>
              <w:rPr>
                <w:rFonts w:ascii="Arial" w:hAnsi="Arial" w:cs="Arial"/>
                <w:b/>
                <w:sz w:val="18"/>
                <w:szCs w:val="18"/>
              </w:rPr>
            </w:pPr>
          </w:p>
          <w:p w:rsidR="009D2359" w:rsidRPr="00653A6D" w:rsidRDefault="009D2359" w:rsidP="009D2359">
            <w:pPr>
              <w:jc w:val="center"/>
              <w:rPr>
                <w:rFonts w:ascii="Arial" w:hAnsi="Arial" w:cs="Arial"/>
                <w:b/>
                <w:sz w:val="20"/>
                <w:szCs w:val="20"/>
              </w:rPr>
            </w:pPr>
            <w:r w:rsidRPr="003F7E57">
              <w:rPr>
                <w:rFonts w:ascii="Arial" w:hAnsi="Arial" w:cs="Arial"/>
                <w:b/>
                <w:sz w:val="18"/>
                <w:szCs w:val="18"/>
              </w:rPr>
              <w:t>LPN-CMOP-</w:t>
            </w:r>
            <w:r>
              <w:rPr>
                <w:rFonts w:ascii="Arial" w:hAnsi="Arial" w:cs="Arial"/>
                <w:b/>
                <w:sz w:val="18"/>
                <w:szCs w:val="18"/>
              </w:rPr>
              <w:t>FED</w:t>
            </w:r>
            <w:r w:rsidRPr="003F7E57">
              <w:rPr>
                <w:rFonts w:ascii="Arial" w:hAnsi="Arial" w:cs="Arial"/>
                <w:b/>
                <w:sz w:val="18"/>
                <w:szCs w:val="18"/>
              </w:rPr>
              <w:t>-0</w:t>
            </w:r>
            <w:r>
              <w:rPr>
                <w:rFonts w:ascii="Arial" w:hAnsi="Arial" w:cs="Arial"/>
                <w:b/>
                <w:sz w:val="18"/>
                <w:szCs w:val="18"/>
              </w:rPr>
              <w:t>48</w:t>
            </w:r>
            <w:r w:rsidRPr="003F7E57">
              <w:rPr>
                <w:rFonts w:ascii="Arial" w:hAnsi="Arial" w:cs="Arial"/>
                <w:b/>
                <w:sz w:val="18"/>
                <w:szCs w:val="18"/>
              </w:rPr>
              <w:t>/2013</w:t>
            </w:r>
          </w:p>
        </w:tc>
        <w:tc>
          <w:tcPr>
            <w:tcW w:w="2621" w:type="dxa"/>
          </w:tcPr>
          <w:p w:rsidR="009D2359" w:rsidRPr="003F7E57" w:rsidRDefault="009D2359" w:rsidP="009D2359">
            <w:pPr>
              <w:jc w:val="both"/>
              <w:rPr>
                <w:rFonts w:ascii="Arial" w:hAnsi="Arial" w:cs="Arial"/>
                <w:sz w:val="18"/>
                <w:szCs w:val="18"/>
              </w:rPr>
            </w:pPr>
            <w:r>
              <w:rPr>
                <w:rFonts w:ascii="Arial" w:hAnsi="Arial" w:cs="Arial"/>
                <w:sz w:val="18"/>
                <w:szCs w:val="18"/>
              </w:rPr>
              <w:t xml:space="preserve">Construcción Casa de la Cultura en la Colonia Unión </w:t>
            </w:r>
            <w:proofErr w:type="spellStart"/>
            <w:r>
              <w:rPr>
                <w:rFonts w:ascii="Arial" w:hAnsi="Arial" w:cs="Arial"/>
                <w:sz w:val="18"/>
                <w:szCs w:val="18"/>
              </w:rPr>
              <w:t>Antorchista</w:t>
            </w:r>
            <w:proofErr w:type="spellEnd"/>
            <w:r>
              <w:rPr>
                <w:rFonts w:ascii="Arial" w:hAnsi="Arial" w:cs="Arial"/>
                <w:sz w:val="18"/>
                <w:szCs w:val="18"/>
              </w:rPr>
              <w:t xml:space="preserve">, en el Municipio de Puebla, ubicada en Calle Aquiles Serdán esquina con Revolución Mexicana, de la Colonia Unión </w:t>
            </w:r>
            <w:proofErr w:type="spellStart"/>
            <w:r>
              <w:rPr>
                <w:rFonts w:ascii="Arial" w:hAnsi="Arial" w:cs="Arial"/>
                <w:sz w:val="18"/>
                <w:szCs w:val="18"/>
              </w:rPr>
              <w:t>Antorchista</w:t>
            </w:r>
            <w:proofErr w:type="spellEnd"/>
            <w:r>
              <w:rPr>
                <w:rFonts w:ascii="Arial" w:hAnsi="Arial" w:cs="Arial"/>
                <w:sz w:val="18"/>
                <w:szCs w:val="18"/>
              </w:rPr>
              <w:t>.</w:t>
            </w:r>
          </w:p>
        </w:tc>
        <w:tc>
          <w:tcPr>
            <w:tcW w:w="1276" w:type="dxa"/>
          </w:tcPr>
          <w:p w:rsidR="009D2359" w:rsidRDefault="009D2359" w:rsidP="003823B6">
            <w:pPr>
              <w:jc w:val="center"/>
              <w:rPr>
                <w:rFonts w:ascii="Arial" w:hAnsi="Arial" w:cs="Arial"/>
                <w:sz w:val="18"/>
                <w:szCs w:val="18"/>
              </w:rPr>
            </w:pPr>
          </w:p>
          <w:p w:rsidR="009D2359" w:rsidRPr="003F7E57" w:rsidRDefault="009D2359" w:rsidP="003823B6">
            <w:pPr>
              <w:jc w:val="center"/>
              <w:rPr>
                <w:rFonts w:ascii="Arial" w:hAnsi="Arial" w:cs="Arial"/>
                <w:sz w:val="18"/>
                <w:szCs w:val="18"/>
              </w:rPr>
            </w:pPr>
            <w:r>
              <w:rPr>
                <w:rFonts w:ascii="Arial" w:hAnsi="Arial" w:cs="Arial"/>
                <w:sz w:val="18"/>
                <w:szCs w:val="18"/>
              </w:rPr>
              <w:t xml:space="preserve">6 de Diciembre </w:t>
            </w:r>
            <w:r w:rsidRPr="003F7E57">
              <w:rPr>
                <w:rFonts w:ascii="Arial" w:hAnsi="Arial" w:cs="Arial"/>
                <w:sz w:val="18"/>
                <w:szCs w:val="18"/>
              </w:rPr>
              <w:t xml:space="preserve">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9D2359" w:rsidRPr="003F7E57" w:rsidRDefault="009D2359" w:rsidP="003823B6">
            <w:pPr>
              <w:jc w:val="center"/>
              <w:rPr>
                <w:rFonts w:ascii="Arial" w:hAnsi="Arial" w:cs="Arial"/>
                <w:sz w:val="18"/>
                <w:szCs w:val="18"/>
              </w:rPr>
            </w:pPr>
            <w:r w:rsidRPr="003F7E57">
              <w:rPr>
                <w:rFonts w:ascii="Arial" w:hAnsi="Arial" w:cs="Arial"/>
                <w:sz w:val="18"/>
                <w:szCs w:val="18"/>
              </w:rPr>
              <w:t>11:00 horas</w:t>
            </w:r>
          </w:p>
        </w:tc>
        <w:tc>
          <w:tcPr>
            <w:tcW w:w="1276" w:type="dxa"/>
          </w:tcPr>
          <w:p w:rsidR="009D2359" w:rsidRPr="003F7E57" w:rsidRDefault="009D2359" w:rsidP="003823B6">
            <w:pPr>
              <w:jc w:val="center"/>
              <w:rPr>
                <w:rFonts w:ascii="Arial" w:hAnsi="Arial" w:cs="Arial"/>
                <w:sz w:val="18"/>
                <w:szCs w:val="18"/>
              </w:rPr>
            </w:pPr>
          </w:p>
          <w:p w:rsidR="009D2359" w:rsidRPr="003F7E57" w:rsidRDefault="009D2359" w:rsidP="003823B6">
            <w:pPr>
              <w:jc w:val="center"/>
              <w:rPr>
                <w:rFonts w:ascii="Arial" w:hAnsi="Arial" w:cs="Arial"/>
                <w:sz w:val="18"/>
                <w:szCs w:val="18"/>
              </w:rPr>
            </w:pPr>
            <w:r>
              <w:rPr>
                <w:rFonts w:ascii="Arial" w:hAnsi="Arial" w:cs="Arial"/>
                <w:sz w:val="18"/>
                <w:szCs w:val="18"/>
              </w:rPr>
              <w:t xml:space="preserve">6 </w:t>
            </w:r>
            <w:r w:rsidRPr="003F7E57">
              <w:rPr>
                <w:rFonts w:ascii="Arial" w:hAnsi="Arial" w:cs="Arial"/>
                <w:sz w:val="18"/>
                <w:szCs w:val="18"/>
              </w:rPr>
              <w:t xml:space="preserve">de </w:t>
            </w:r>
            <w:r>
              <w:rPr>
                <w:rFonts w:ascii="Arial" w:hAnsi="Arial" w:cs="Arial"/>
                <w:sz w:val="18"/>
                <w:szCs w:val="18"/>
              </w:rPr>
              <w:t>Diciembre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9D2359" w:rsidRPr="003F7E57" w:rsidRDefault="009D2359" w:rsidP="003823B6">
            <w:pPr>
              <w:jc w:val="center"/>
              <w:rPr>
                <w:rFonts w:ascii="Arial" w:hAnsi="Arial" w:cs="Arial"/>
                <w:sz w:val="18"/>
                <w:szCs w:val="18"/>
              </w:rPr>
            </w:pPr>
            <w:r w:rsidRPr="003F7E57">
              <w:rPr>
                <w:rFonts w:ascii="Arial" w:hAnsi="Arial" w:cs="Arial"/>
                <w:sz w:val="18"/>
                <w:szCs w:val="18"/>
              </w:rPr>
              <w:t>14:00 horas</w:t>
            </w:r>
          </w:p>
        </w:tc>
        <w:tc>
          <w:tcPr>
            <w:tcW w:w="1417" w:type="dxa"/>
          </w:tcPr>
          <w:p w:rsidR="009D2359" w:rsidRDefault="009D2359" w:rsidP="009D2359">
            <w:pPr>
              <w:jc w:val="center"/>
              <w:rPr>
                <w:rFonts w:ascii="Arial" w:hAnsi="Arial" w:cs="Arial"/>
                <w:sz w:val="18"/>
                <w:szCs w:val="18"/>
              </w:rPr>
            </w:pPr>
          </w:p>
          <w:p w:rsidR="009D2359" w:rsidRPr="003F7E57" w:rsidRDefault="009D2359" w:rsidP="009D2359">
            <w:pPr>
              <w:jc w:val="center"/>
              <w:rPr>
                <w:rFonts w:ascii="Arial" w:hAnsi="Arial" w:cs="Arial"/>
                <w:sz w:val="18"/>
                <w:szCs w:val="18"/>
              </w:rPr>
            </w:pPr>
            <w:r>
              <w:rPr>
                <w:rFonts w:ascii="Arial" w:hAnsi="Arial" w:cs="Arial"/>
                <w:sz w:val="18"/>
                <w:szCs w:val="18"/>
              </w:rPr>
              <w:t>12 de Diciembre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9D2359" w:rsidRPr="003F7E57" w:rsidRDefault="009D2359" w:rsidP="009D2359">
            <w:pPr>
              <w:jc w:val="center"/>
              <w:rPr>
                <w:rFonts w:ascii="Arial" w:hAnsi="Arial" w:cs="Arial"/>
                <w:sz w:val="18"/>
                <w:szCs w:val="18"/>
              </w:rPr>
            </w:pPr>
            <w:r w:rsidRPr="003F7E57">
              <w:rPr>
                <w:rFonts w:ascii="Arial" w:hAnsi="Arial" w:cs="Arial"/>
                <w:sz w:val="18"/>
                <w:szCs w:val="18"/>
              </w:rPr>
              <w:t>1</w:t>
            </w:r>
            <w:r>
              <w:rPr>
                <w:rFonts w:ascii="Arial" w:hAnsi="Arial" w:cs="Arial"/>
                <w:sz w:val="18"/>
                <w:szCs w:val="18"/>
              </w:rPr>
              <w:t>1</w:t>
            </w:r>
            <w:r w:rsidRPr="003F7E57">
              <w:rPr>
                <w:rFonts w:ascii="Arial" w:hAnsi="Arial" w:cs="Arial"/>
                <w:sz w:val="18"/>
                <w:szCs w:val="18"/>
              </w:rPr>
              <w:t>:00 horas</w:t>
            </w:r>
          </w:p>
        </w:tc>
        <w:tc>
          <w:tcPr>
            <w:tcW w:w="1418" w:type="dxa"/>
          </w:tcPr>
          <w:p w:rsidR="009D2359" w:rsidRDefault="009D2359" w:rsidP="003823B6">
            <w:pPr>
              <w:jc w:val="center"/>
              <w:rPr>
                <w:rFonts w:ascii="Arial" w:hAnsi="Arial" w:cs="Arial"/>
                <w:sz w:val="18"/>
                <w:szCs w:val="18"/>
              </w:rPr>
            </w:pPr>
          </w:p>
          <w:p w:rsidR="009D2359" w:rsidRPr="003F7E57" w:rsidRDefault="009D2359" w:rsidP="003823B6">
            <w:pPr>
              <w:jc w:val="center"/>
              <w:rPr>
                <w:rFonts w:ascii="Arial" w:hAnsi="Arial" w:cs="Arial"/>
                <w:sz w:val="18"/>
                <w:szCs w:val="18"/>
              </w:rPr>
            </w:pPr>
            <w:r>
              <w:rPr>
                <w:rFonts w:ascii="Arial" w:hAnsi="Arial" w:cs="Arial"/>
                <w:sz w:val="18"/>
                <w:szCs w:val="18"/>
              </w:rPr>
              <w:t>13 de Diciembre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9D2359" w:rsidRPr="003F7E57" w:rsidRDefault="009D2359" w:rsidP="003823B6">
            <w:pPr>
              <w:jc w:val="center"/>
              <w:rPr>
                <w:rFonts w:ascii="Arial" w:hAnsi="Arial" w:cs="Arial"/>
                <w:sz w:val="18"/>
                <w:szCs w:val="18"/>
              </w:rPr>
            </w:pPr>
            <w:r w:rsidRPr="003F7E57">
              <w:rPr>
                <w:rFonts w:ascii="Arial" w:hAnsi="Arial" w:cs="Arial"/>
                <w:sz w:val="18"/>
                <w:szCs w:val="18"/>
              </w:rPr>
              <w:t>1</w:t>
            </w:r>
            <w:r>
              <w:rPr>
                <w:rFonts w:ascii="Arial" w:hAnsi="Arial" w:cs="Arial"/>
                <w:sz w:val="18"/>
                <w:szCs w:val="18"/>
              </w:rPr>
              <w:t>6</w:t>
            </w:r>
            <w:r w:rsidRPr="003F7E57">
              <w:rPr>
                <w:rFonts w:ascii="Arial" w:hAnsi="Arial" w:cs="Arial"/>
                <w:sz w:val="18"/>
                <w:szCs w:val="18"/>
              </w:rPr>
              <w:t>:</w:t>
            </w:r>
            <w:r>
              <w:rPr>
                <w:rFonts w:ascii="Arial" w:hAnsi="Arial" w:cs="Arial"/>
                <w:sz w:val="18"/>
                <w:szCs w:val="18"/>
              </w:rPr>
              <w:t>0</w:t>
            </w:r>
            <w:r w:rsidRPr="003F7E57">
              <w:rPr>
                <w:rFonts w:ascii="Arial" w:hAnsi="Arial" w:cs="Arial"/>
                <w:sz w:val="18"/>
                <w:szCs w:val="18"/>
              </w:rPr>
              <w:t>0 horas</w:t>
            </w:r>
          </w:p>
        </w:tc>
      </w:tr>
      <w:tr w:rsidR="009D2359" w:rsidRPr="00653A6D" w:rsidTr="006C2DC1">
        <w:trPr>
          <w:trHeight w:val="914"/>
        </w:trPr>
        <w:tc>
          <w:tcPr>
            <w:tcW w:w="4039" w:type="dxa"/>
            <w:gridSpan w:val="2"/>
          </w:tcPr>
          <w:p w:rsidR="009D2359" w:rsidRPr="00653A6D" w:rsidRDefault="009D2359" w:rsidP="001335DA">
            <w:pPr>
              <w:jc w:val="center"/>
              <w:rPr>
                <w:rFonts w:ascii="Arial" w:hAnsi="Arial" w:cs="Arial"/>
                <w:b/>
                <w:sz w:val="20"/>
                <w:szCs w:val="20"/>
              </w:rPr>
            </w:pPr>
          </w:p>
          <w:p w:rsidR="009D2359" w:rsidRPr="00653A6D" w:rsidRDefault="009D2359" w:rsidP="001335DA">
            <w:pPr>
              <w:jc w:val="both"/>
              <w:rPr>
                <w:rFonts w:ascii="Arial" w:eastAsia="Arial Unicode MS" w:hAnsi="Arial" w:cs="Arial"/>
                <w:b/>
                <w:sz w:val="20"/>
                <w:szCs w:val="20"/>
              </w:rPr>
            </w:pPr>
          </w:p>
          <w:p w:rsidR="009D2359" w:rsidRPr="00653A6D" w:rsidRDefault="009D2359" w:rsidP="00BF5533">
            <w:pPr>
              <w:jc w:val="both"/>
              <w:rPr>
                <w:rFonts w:ascii="Arial" w:eastAsia="Arial Unicode MS" w:hAnsi="Arial" w:cs="Arial"/>
                <w:sz w:val="20"/>
                <w:szCs w:val="20"/>
              </w:rPr>
            </w:pPr>
            <w:r w:rsidRPr="00653A6D">
              <w:rPr>
                <w:rFonts w:ascii="Arial" w:eastAsia="Arial Unicode MS" w:hAnsi="Arial" w:cs="Arial"/>
                <w:b/>
                <w:sz w:val="20"/>
                <w:szCs w:val="20"/>
              </w:rPr>
              <w:t>METAS</w:t>
            </w:r>
            <w:r w:rsidRPr="009D2359">
              <w:rPr>
                <w:rFonts w:ascii="Arial" w:eastAsia="Arial Unicode MS" w:hAnsi="Arial" w:cs="Arial"/>
                <w:b/>
                <w:sz w:val="20"/>
                <w:szCs w:val="20"/>
              </w:rPr>
              <w:t xml:space="preserve">:      </w:t>
            </w:r>
            <w:r w:rsidRPr="009D2359">
              <w:rPr>
                <w:rFonts w:ascii="Arial" w:hAnsi="Arial" w:cs="Arial"/>
                <w:b/>
                <w:sz w:val="20"/>
                <w:szCs w:val="20"/>
              </w:rPr>
              <w:t>315.82 m2</w:t>
            </w:r>
          </w:p>
        </w:tc>
        <w:tc>
          <w:tcPr>
            <w:tcW w:w="2552" w:type="dxa"/>
            <w:gridSpan w:val="2"/>
          </w:tcPr>
          <w:p w:rsidR="009D2359" w:rsidRPr="00653A6D" w:rsidRDefault="009D2359" w:rsidP="001335DA">
            <w:pPr>
              <w:jc w:val="center"/>
              <w:rPr>
                <w:rFonts w:ascii="Arial" w:hAnsi="Arial" w:cs="Arial"/>
                <w:b/>
                <w:sz w:val="20"/>
                <w:szCs w:val="20"/>
              </w:rPr>
            </w:pPr>
          </w:p>
          <w:p w:rsidR="009D2359" w:rsidRPr="00653A6D" w:rsidRDefault="009D2359" w:rsidP="001335DA">
            <w:pPr>
              <w:jc w:val="center"/>
              <w:rPr>
                <w:rFonts w:ascii="Arial" w:hAnsi="Arial" w:cs="Arial"/>
                <w:b/>
                <w:sz w:val="20"/>
                <w:szCs w:val="20"/>
              </w:rPr>
            </w:pPr>
            <w:r w:rsidRPr="00653A6D">
              <w:rPr>
                <w:rFonts w:ascii="Arial" w:hAnsi="Arial" w:cs="Arial"/>
                <w:b/>
                <w:sz w:val="20"/>
                <w:szCs w:val="20"/>
              </w:rPr>
              <w:t>CONTRATACIÓN:</w:t>
            </w:r>
          </w:p>
          <w:p w:rsidR="009D2359" w:rsidRPr="00653A6D" w:rsidRDefault="009D2359" w:rsidP="001335DA">
            <w:pPr>
              <w:jc w:val="center"/>
              <w:rPr>
                <w:rFonts w:ascii="Arial" w:hAnsi="Arial" w:cs="Arial"/>
                <w:sz w:val="20"/>
                <w:szCs w:val="20"/>
              </w:rPr>
            </w:pPr>
            <w:r w:rsidRPr="00653A6D">
              <w:rPr>
                <w:rFonts w:ascii="Arial" w:hAnsi="Arial" w:cs="Arial"/>
                <w:sz w:val="20"/>
                <w:szCs w:val="20"/>
              </w:rPr>
              <w:t xml:space="preserve"> </w:t>
            </w:r>
            <w:r>
              <w:rPr>
                <w:rFonts w:ascii="Arial" w:hAnsi="Arial" w:cs="Arial"/>
                <w:sz w:val="20"/>
                <w:szCs w:val="20"/>
              </w:rPr>
              <w:t>14 DE DICIEMBRE DE 2013</w:t>
            </w:r>
          </w:p>
          <w:p w:rsidR="009D2359" w:rsidRPr="00653A6D" w:rsidRDefault="009D2359" w:rsidP="00856DEA">
            <w:pPr>
              <w:jc w:val="center"/>
              <w:rPr>
                <w:rFonts w:ascii="Arial" w:hAnsi="Arial" w:cs="Arial"/>
                <w:sz w:val="20"/>
                <w:szCs w:val="20"/>
              </w:rPr>
            </w:pPr>
          </w:p>
        </w:tc>
        <w:tc>
          <w:tcPr>
            <w:tcW w:w="2835" w:type="dxa"/>
            <w:gridSpan w:val="2"/>
          </w:tcPr>
          <w:p w:rsidR="009D2359" w:rsidRPr="00653A6D" w:rsidRDefault="009D2359" w:rsidP="001335DA">
            <w:pPr>
              <w:jc w:val="center"/>
              <w:rPr>
                <w:rFonts w:ascii="Arial" w:hAnsi="Arial" w:cs="Arial"/>
                <w:b/>
                <w:sz w:val="20"/>
                <w:szCs w:val="20"/>
              </w:rPr>
            </w:pPr>
            <w:r w:rsidRPr="00653A6D">
              <w:rPr>
                <w:rFonts w:ascii="Arial" w:hAnsi="Arial" w:cs="Arial"/>
                <w:b/>
                <w:sz w:val="20"/>
                <w:szCs w:val="20"/>
              </w:rPr>
              <w:t>PERIODO DE EJECUCIÓN:</w:t>
            </w:r>
          </w:p>
          <w:p w:rsidR="009D2359" w:rsidRDefault="009D2359" w:rsidP="00856DEA">
            <w:pPr>
              <w:jc w:val="center"/>
              <w:rPr>
                <w:rFonts w:ascii="Arial" w:hAnsi="Arial" w:cs="Arial"/>
                <w:color w:val="000000" w:themeColor="text1"/>
                <w:sz w:val="20"/>
                <w:szCs w:val="20"/>
              </w:rPr>
            </w:pPr>
            <w:r>
              <w:rPr>
                <w:rFonts w:ascii="Arial" w:hAnsi="Arial" w:cs="Arial"/>
                <w:color w:val="000000" w:themeColor="text1"/>
                <w:sz w:val="20"/>
                <w:szCs w:val="20"/>
              </w:rPr>
              <w:t>40</w:t>
            </w:r>
            <w:r w:rsidRPr="00653A6D">
              <w:rPr>
                <w:rFonts w:ascii="Arial" w:hAnsi="Arial" w:cs="Arial"/>
                <w:color w:val="000000" w:themeColor="text1"/>
                <w:sz w:val="20"/>
                <w:szCs w:val="20"/>
              </w:rPr>
              <w:t xml:space="preserve"> días naturales, estimando el inicio de los trabajos el día</w:t>
            </w:r>
          </w:p>
          <w:p w:rsidR="009D2359" w:rsidRPr="00653A6D" w:rsidRDefault="009D2359" w:rsidP="009D2359">
            <w:pPr>
              <w:jc w:val="center"/>
              <w:rPr>
                <w:rFonts w:ascii="Arial" w:hAnsi="Arial" w:cs="Arial"/>
                <w:color w:val="FF0000"/>
                <w:sz w:val="20"/>
                <w:szCs w:val="20"/>
              </w:rPr>
            </w:pPr>
            <w:r>
              <w:rPr>
                <w:rFonts w:ascii="Arial" w:hAnsi="Arial" w:cs="Arial"/>
                <w:color w:val="000000" w:themeColor="text1"/>
                <w:sz w:val="20"/>
                <w:szCs w:val="20"/>
              </w:rPr>
              <w:t>16 de Diciembre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lastRenderedPageBreak/>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D975AC" w:rsidRDefault="00D975AC" w:rsidP="00D975AC">
      <w:pPr>
        <w:pStyle w:val="Texto"/>
        <w:spacing w:after="0" w:line="240" w:lineRule="auto"/>
        <w:rPr>
          <w:color w:val="000000" w:themeColor="text1"/>
          <w:sz w:val="20"/>
        </w:rPr>
      </w:pPr>
    </w:p>
    <w:p w:rsidR="00D975AC" w:rsidRPr="00A36BA0" w:rsidRDefault="00D975AC" w:rsidP="00D975AC">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Aclaraciones, formará parte de la Convocatoria y deberá ser considerada por los Licitantes en la elaboración de su proposición. En lo que se refiere a los requisitos solicitados por el CONVOCANTE no estarán sujetos a negociación, ya que en términos del antepenúltimo párrafo del artículo 31 de la LEY, </w:t>
      </w:r>
      <w:r w:rsidRPr="00A36BA0">
        <w:rPr>
          <w:b/>
          <w:color w:val="000000" w:themeColor="text1"/>
          <w:sz w:val="20"/>
        </w:rPr>
        <w:t>el proyecto de la presente CONVOCATORIA  fue difundido a través de CompraNet durante diez días, lapso durante el cual no se recibieron los comentarios pertinentes en la dirección electrónica</w:t>
      </w:r>
      <w:r w:rsidRPr="00A36BA0">
        <w:rPr>
          <w:color w:val="000000" w:themeColor="text1"/>
          <w:sz w:val="20"/>
        </w:rPr>
        <w:t xml:space="preserve">: </w:t>
      </w:r>
      <w:hyperlink r:id="rId8" w:history="1">
        <w:r w:rsidRPr="00A36BA0">
          <w:rPr>
            <w:rStyle w:val="Hipervnculo"/>
            <w:b/>
            <w:color w:val="000000" w:themeColor="text1"/>
            <w:sz w:val="20"/>
          </w:rPr>
          <w:t>dicame_ne_ax@hotmail.com</w:t>
        </w:r>
      </w:hyperlink>
      <w:r w:rsidRPr="00A36BA0">
        <w:rPr>
          <w:color w:val="000000" w:themeColor="text1"/>
          <w:sz w:val="20"/>
        </w:rPr>
        <w:t xml:space="preserve"> con atención a la ARQUITECTA DIANA CANSECO MENA, Responsable de Adjudicaciones del CONVOCANTE.</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w:t>
      </w:r>
      <w:r w:rsidRPr="00A36BA0">
        <w:rPr>
          <w:rFonts w:ascii="Arial" w:hAnsi="Arial" w:cs="Arial"/>
          <w:sz w:val="20"/>
          <w:szCs w:val="20"/>
          <w:lang w:val="es-MX"/>
        </w:rPr>
        <w:lastRenderedPageBreak/>
        <w:t xml:space="preserve">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w:t>
      </w:r>
      <w:r w:rsidRPr="00A36BA0">
        <w:rPr>
          <w:rFonts w:ascii="Arial" w:hAnsi="Arial" w:cs="Arial"/>
          <w:sz w:val="20"/>
          <w:szCs w:val="20"/>
        </w:rPr>
        <w:lastRenderedPageBreak/>
        <w:t xml:space="preserve">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w:t>
      </w:r>
      <w:r w:rsidRPr="00A41AF8">
        <w:rPr>
          <w:rFonts w:ascii="Arial" w:hAnsi="Arial" w:cs="Arial"/>
          <w:sz w:val="20"/>
          <w:szCs w:val="20"/>
        </w:rPr>
        <w:t xml:space="preserve">solicitadas en esta Convocatoria y así poder determinar sus posibilidades de cumplimiento a las mismas, </w:t>
      </w:r>
      <w:r w:rsidRPr="00A41AF8">
        <w:rPr>
          <w:rFonts w:ascii="Arial" w:hAnsi="Arial" w:cs="Arial"/>
          <w:b/>
          <w:bCs/>
          <w:sz w:val="20"/>
          <w:szCs w:val="20"/>
        </w:rPr>
        <w:t>se encontrará disponible para su consulta</w:t>
      </w:r>
      <w:r w:rsidRPr="00A41AF8">
        <w:rPr>
          <w:rFonts w:ascii="Arial" w:hAnsi="Arial" w:cs="Arial"/>
          <w:b/>
          <w:sz w:val="20"/>
          <w:szCs w:val="20"/>
        </w:rPr>
        <w:t xml:space="preserve"> vía internet</w:t>
      </w:r>
      <w:r w:rsidRPr="00A41AF8">
        <w:rPr>
          <w:rFonts w:ascii="Arial" w:hAnsi="Arial" w:cs="Arial"/>
          <w:sz w:val="20"/>
          <w:szCs w:val="20"/>
        </w:rPr>
        <w:t xml:space="preserve"> en: http://compranet.gob.mx</w:t>
      </w:r>
      <w:r w:rsidRPr="00A41AF8">
        <w:rPr>
          <w:rFonts w:ascii="Arial" w:hAnsi="Arial" w:cs="Arial"/>
          <w:bCs/>
          <w:sz w:val="20"/>
          <w:szCs w:val="20"/>
        </w:rPr>
        <w:t xml:space="preserve">  y</w:t>
      </w:r>
      <w:r w:rsidRPr="00A41AF8">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41AF8">
        <w:rPr>
          <w:rFonts w:ascii="Arial" w:hAnsi="Arial" w:cs="Arial"/>
          <w:sz w:val="20"/>
          <w:szCs w:val="20"/>
        </w:rPr>
        <w:t xml:space="preserve"> oficina </w:t>
      </w:r>
      <w:r w:rsidRPr="00A41AF8">
        <w:rPr>
          <w:rFonts w:ascii="Arial" w:hAnsi="Arial" w:cs="Arial"/>
          <w:sz w:val="20"/>
          <w:szCs w:val="20"/>
        </w:rPr>
        <w:t>de</w:t>
      </w:r>
      <w:r w:rsidRPr="00A36BA0">
        <w:rPr>
          <w:rFonts w:ascii="Arial" w:hAnsi="Arial" w:cs="Arial"/>
          <w:sz w:val="20"/>
          <w:szCs w:val="20"/>
        </w:rPr>
        <w:t xml:space="preserv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w:t>
      </w:r>
      <w:r w:rsidRPr="00A41AF8">
        <w:rPr>
          <w:rFonts w:ascii="Arial" w:hAnsi="Arial" w:cs="Arial"/>
          <w:sz w:val="20"/>
          <w:szCs w:val="20"/>
        </w:rPr>
        <w:t xml:space="preserve">de los licitantes participantes, es requisito ineludible el registro para participar </w:t>
      </w:r>
      <w:r w:rsidR="00E217BB" w:rsidRPr="00A41AF8">
        <w:rPr>
          <w:rFonts w:ascii="Arial" w:hAnsi="Arial" w:cs="Arial"/>
          <w:sz w:val="20"/>
          <w:szCs w:val="20"/>
        </w:rPr>
        <w:t>en la licitació</w:t>
      </w:r>
      <w:r w:rsidRPr="00A41AF8">
        <w:rPr>
          <w:rFonts w:ascii="Arial" w:hAnsi="Arial" w:cs="Arial"/>
          <w:sz w:val="20"/>
          <w:szCs w:val="20"/>
        </w:rPr>
        <w:t xml:space="preserve">n, por lo tanto el licitante interesado deberá presentar por escrito su </w:t>
      </w:r>
      <w:r w:rsidR="00D45301" w:rsidRPr="00A41AF8">
        <w:rPr>
          <w:rFonts w:ascii="Arial" w:hAnsi="Arial" w:cs="Arial"/>
          <w:sz w:val="20"/>
          <w:szCs w:val="20"/>
        </w:rPr>
        <w:t xml:space="preserve">solicitud para participar (original y copia), </w:t>
      </w:r>
      <w:r w:rsidRPr="00A41AF8">
        <w:rPr>
          <w:rFonts w:ascii="Arial" w:hAnsi="Arial" w:cs="Arial"/>
          <w:sz w:val="20"/>
          <w:szCs w:val="20"/>
        </w:rPr>
        <w:t xml:space="preserve">la cual será dirigida al </w:t>
      </w:r>
      <w:r w:rsidR="00307433" w:rsidRPr="00A41AF8">
        <w:rPr>
          <w:rFonts w:ascii="Arial" w:hAnsi="Arial" w:cs="Arial"/>
          <w:sz w:val="20"/>
          <w:szCs w:val="20"/>
        </w:rPr>
        <w:t>Titular</w:t>
      </w:r>
      <w:r w:rsidRPr="00A41AF8">
        <w:rPr>
          <w:rFonts w:ascii="Arial" w:hAnsi="Arial" w:cs="Arial"/>
          <w:sz w:val="20"/>
          <w:szCs w:val="20"/>
        </w:rPr>
        <w:t xml:space="preserve"> del COMITÉ y deberá presentarse a más tardar </w:t>
      </w:r>
      <w:r w:rsidR="00850740" w:rsidRPr="00A41AF8">
        <w:rPr>
          <w:rFonts w:ascii="Arial" w:hAnsi="Arial" w:cs="Arial"/>
          <w:sz w:val="20"/>
          <w:szCs w:val="20"/>
        </w:rPr>
        <w:t xml:space="preserve">a las trece horas del día en que se lleve a cabo la junta de aclaración, solicitud que será entregada </w:t>
      </w:r>
      <w:r w:rsidRPr="00A41AF8">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 xml:space="preserve">sí mismo deberá obtener su registro en el </w:t>
      </w:r>
      <w:r w:rsidRPr="00B33DD9">
        <w:rPr>
          <w:rFonts w:ascii="Arial" w:hAnsi="Arial" w:cs="Arial"/>
          <w:b/>
          <w:sz w:val="20"/>
          <w:szCs w:val="20"/>
        </w:rPr>
        <w:t>sistema electrónico de información pública gubernamental</w:t>
      </w:r>
      <w:r w:rsidRPr="003C0DB3">
        <w:rPr>
          <w:rFonts w:ascii="Arial" w:hAnsi="Arial" w:cs="Arial"/>
          <w:sz w:val="20"/>
          <w:szCs w:val="20"/>
        </w:rPr>
        <w:t>,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Ingeniero Miguel Ángel Macip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lastRenderedPageBreak/>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lastRenderedPageBreak/>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bookmarkStart w:id="0" w:name="_GoBack"/>
      <w:bookmarkEnd w:id="0"/>
      <w:r w:rsidR="00A41AF8">
        <w:rPr>
          <w:rFonts w:ascii="Arial" w:hAnsi="Arial" w:cs="Arial"/>
          <w:sz w:val="20"/>
          <w:szCs w:val="20"/>
        </w:rPr>
        <w:t>TRES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indicando si son de su propiedad, arrendadas con o sin opción a 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lastRenderedPageBreak/>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desechamiento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CompraNet,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jc w:val="both"/>
        <w:rPr>
          <w:rFonts w:ascii="Arial" w:hAnsi="Arial" w:cs="Arial"/>
          <w:sz w:val="20"/>
          <w:szCs w:val="20"/>
        </w:rPr>
      </w:pPr>
      <w:r w:rsidRPr="00A36BA0">
        <w:rPr>
          <w:rFonts w:ascii="Arial" w:hAnsi="Arial" w:cs="Arial"/>
          <w:b/>
          <w:bCs/>
          <w:sz w:val="20"/>
          <w:szCs w:val="20"/>
        </w:rPr>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lastRenderedPageBreak/>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36BA0" w:rsidRDefault="00323AC7" w:rsidP="00F67C8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lastRenderedPageBreak/>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lastRenderedPageBreak/>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lastRenderedPageBreak/>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0B024D" w:rsidRDefault="0072487B" w:rsidP="0072487B">
      <w:pPr>
        <w:tabs>
          <w:tab w:val="left" w:pos="709"/>
        </w:tabs>
        <w:jc w:val="both"/>
        <w:rPr>
          <w:rFonts w:ascii="Arial" w:hAnsi="Arial" w:cs="Arial"/>
          <w:sz w:val="20"/>
          <w:szCs w:val="20"/>
        </w:rPr>
      </w:pPr>
      <w:r w:rsidRPr="00A36BA0">
        <w:rPr>
          <w:rFonts w:ascii="Arial" w:hAnsi="Arial" w:cs="Arial"/>
          <w:sz w:val="20"/>
          <w:szCs w:val="20"/>
        </w:rPr>
        <w:tab/>
      </w:r>
    </w:p>
    <w:p w:rsidR="0072487B" w:rsidRPr="00A36BA0" w:rsidRDefault="000B024D" w:rsidP="0072487B">
      <w:pPr>
        <w:tabs>
          <w:tab w:val="left" w:pos="709"/>
        </w:tabs>
        <w:jc w:val="both"/>
        <w:rPr>
          <w:rFonts w:ascii="Arial" w:hAnsi="Arial" w:cs="Arial"/>
          <w:sz w:val="20"/>
          <w:szCs w:val="20"/>
        </w:rPr>
      </w:pPr>
      <w:r>
        <w:rPr>
          <w:rFonts w:ascii="Arial" w:hAnsi="Arial" w:cs="Arial"/>
          <w:sz w:val="20"/>
          <w:szCs w:val="20"/>
        </w:rPr>
        <w:tab/>
      </w:r>
      <w:r w:rsidR="0072487B" w:rsidRPr="00A36BA0">
        <w:rPr>
          <w:rFonts w:ascii="Arial" w:hAnsi="Arial" w:cs="Arial"/>
          <w:sz w:val="20"/>
          <w:szCs w:val="20"/>
        </w:rPr>
        <w:t xml:space="preserve">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w:t>
      </w:r>
      <w:r w:rsidR="0072487B" w:rsidRPr="00A36BA0">
        <w:rPr>
          <w:rFonts w:ascii="Arial" w:hAnsi="Arial" w:cs="Arial"/>
          <w:sz w:val="20"/>
          <w:szCs w:val="20"/>
        </w:rPr>
        <w:lastRenderedPageBreak/>
        <w:t>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w:t>
      </w:r>
      <w:r>
        <w:rPr>
          <w:rFonts w:ascii="Arial" w:hAnsi="Arial" w:cs="Arial"/>
          <w:sz w:val="20"/>
          <w:szCs w:val="20"/>
        </w:rPr>
        <w:t>ocho</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0072487B" w:rsidRPr="00A36BA0">
        <w:rPr>
          <w:rFonts w:ascii="Arial" w:hAnsi="Arial" w:cs="Arial"/>
          <w:sz w:val="20"/>
          <w:szCs w:val="20"/>
        </w:rPr>
        <w:t xml:space="preserve">, </w:t>
      </w:r>
      <w:r w:rsidR="00D62862" w:rsidRPr="00A36BA0">
        <w:rPr>
          <w:rFonts w:ascii="Arial" w:hAnsi="Arial" w:cs="Arial"/>
          <w:sz w:val="20"/>
          <w:szCs w:val="20"/>
        </w:rPr>
        <w:t>de rebasar este porcentaje los p</w:t>
      </w:r>
      <w:r w:rsidR="0072487B"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0072487B" w:rsidRPr="00A36BA0">
        <w:rPr>
          <w:rFonts w:ascii="Arial" w:hAnsi="Arial" w:cs="Arial"/>
          <w:sz w:val="20"/>
          <w:szCs w:val="20"/>
        </w:rPr>
        <w:t>no remunerativos, provocando no 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lastRenderedPageBreak/>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lastRenderedPageBreak/>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causas de desechamiento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lastRenderedPageBreak/>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Que los rendimientos considerados no se encuentren dentro de los márgenes razonables y aceptables de acuerdo con el procedimiento constructivo propuesto por EL LICITANTE, considerando </w:t>
      </w:r>
      <w:r w:rsidRPr="00A36BA0">
        <w:rPr>
          <w:rFonts w:ascii="Arial" w:hAnsi="Arial" w:cs="Arial"/>
          <w:sz w:val="20"/>
          <w:szCs w:val="20"/>
        </w:rPr>
        <w:lastRenderedPageBreak/>
        <w:t>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lastRenderedPageBreak/>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lastRenderedPageBreak/>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 xml:space="preserve">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w:t>
      </w:r>
      <w:r w:rsidRPr="00A36BA0">
        <w:rPr>
          <w:sz w:val="20"/>
        </w:rPr>
        <w:lastRenderedPageBreak/>
        <w:t>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lastRenderedPageBreak/>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w:t>
            </w:r>
            <w:r w:rsidRPr="00A36BA0">
              <w:rPr>
                <w:rFonts w:ascii="Arial" w:hAnsi="Arial" w:cs="Arial"/>
                <w:color w:val="000000" w:themeColor="text1"/>
                <w:sz w:val="20"/>
                <w:szCs w:val="20"/>
              </w:rPr>
              <w:lastRenderedPageBreak/>
              <w:t xml:space="preserve">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lastRenderedPageBreak/>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ZADO Y 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464DD5">
        <w:rPr>
          <w:rFonts w:ascii="Arial" w:hAnsi="Arial" w:cs="Arial"/>
          <w:b/>
          <w:sz w:val="20"/>
          <w:szCs w:val="20"/>
        </w:rPr>
        <w:t>28</w:t>
      </w:r>
      <w:r w:rsidR="00446762" w:rsidRPr="00A36BA0">
        <w:rPr>
          <w:rFonts w:ascii="Arial" w:hAnsi="Arial" w:cs="Arial"/>
          <w:b/>
          <w:sz w:val="20"/>
          <w:szCs w:val="20"/>
        </w:rPr>
        <w:t xml:space="preserve"> DE </w:t>
      </w:r>
      <w:r w:rsidR="00464DD5">
        <w:rPr>
          <w:rFonts w:ascii="Arial" w:hAnsi="Arial" w:cs="Arial"/>
          <w:b/>
          <w:sz w:val="20"/>
          <w:szCs w:val="20"/>
        </w:rPr>
        <w:t>NOVIEMBRE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21FF" w:rsidRDefault="001521FF" w:rsidP="00F0423B">
      <w:r>
        <w:separator/>
      </w:r>
    </w:p>
  </w:endnote>
  <w:endnote w:type="continuationSeparator" w:id="0">
    <w:p w:rsidR="001521FF" w:rsidRDefault="001521FF"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1521FF" w:rsidRDefault="002563F5">
        <w:pPr>
          <w:pStyle w:val="Piedepgina"/>
          <w:jc w:val="right"/>
        </w:pPr>
        <w:fldSimple w:instr=" PAGE   \* MERGEFORMAT ">
          <w:r w:rsidR="008B2371">
            <w:rPr>
              <w:noProof/>
            </w:rPr>
            <w:t>1</w:t>
          </w:r>
        </w:fldSimple>
      </w:p>
    </w:sdtContent>
  </w:sdt>
  <w:p w:rsidR="001521FF" w:rsidRDefault="001521F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21FF" w:rsidRDefault="001521FF" w:rsidP="00F0423B">
      <w:r>
        <w:separator/>
      </w:r>
    </w:p>
  </w:footnote>
  <w:footnote w:type="continuationSeparator" w:id="0">
    <w:p w:rsidR="001521FF" w:rsidRDefault="001521FF"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1521FF" w:rsidRPr="00CD4067" w:rsidTr="006941EE">
      <w:trPr>
        <w:trHeight w:val="905"/>
        <w:jc w:val="center"/>
      </w:trPr>
      <w:tc>
        <w:tcPr>
          <w:tcW w:w="4820" w:type="dxa"/>
        </w:tcPr>
        <w:p w:rsidR="001521FF" w:rsidRPr="00CD4067" w:rsidRDefault="001521FF"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1521FF" w:rsidRDefault="002563F5"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1521FF" w:rsidRDefault="001521FF"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521FF" w:rsidRPr="006941EE" w:rsidRDefault="001521FF"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521FF" w:rsidRDefault="001521FF" w:rsidP="00F0423B">
          <w:pPr>
            <w:pStyle w:val="Encabezado"/>
            <w:rPr>
              <w:sz w:val="16"/>
              <w:szCs w:val="16"/>
            </w:rPr>
          </w:pPr>
        </w:p>
        <w:p w:rsidR="001521FF" w:rsidRDefault="001521FF"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sidR="009D2359">
            <w:rPr>
              <w:rFonts w:ascii="Arial" w:hAnsi="Arial" w:cs="Arial"/>
              <w:b/>
              <w:color w:val="000000"/>
              <w:sz w:val="14"/>
              <w:szCs w:val="14"/>
            </w:rPr>
            <w:t>6</w:t>
          </w:r>
          <w:r w:rsidRPr="00CD4067">
            <w:rPr>
              <w:rFonts w:ascii="Arial" w:hAnsi="Arial" w:cs="Arial"/>
              <w:b/>
              <w:color w:val="000000"/>
              <w:sz w:val="14"/>
              <w:szCs w:val="14"/>
            </w:rPr>
            <w:t>/20</w:t>
          </w:r>
          <w:r>
            <w:rPr>
              <w:rFonts w:ascii="Arial" w:hAnsi="Arial" w:cs="Arial"/>
              <w:b/>
              <w:color w:val="000000"/>
              <w:sz w:val="14"/>
              <w:szCs w:val="14"/>
            </w:rPr>
            <w:t>13</w:t>
          </w:r>
        </w:p>
        <w:p w:rsidR="001521FF" w:rsidRDefault="001521FF"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1521FF" w:rsidRPr="00D83DA1" w:rsidRDefault="001521FF" w:rsidP="006941EE">
          <w:pPr>
            <w:pStyle w:val="Encabezado"/>
            <w:jc w:val="center"/>
            <w:rPr>
              <w:rFonts w:ascii="Arial" w:hAnsi="Arial" w:cs="Arial"/>
              <w:b/>
              <w:sz w:val="14"/>
              <w:szCs w:val="14"/>
            </w:rPr>
          </w:pPr>
          <w:r w:rsidRPr="00D83DA1">
            <w:rPr>
              <w:rFonts w:ascii="Arial" w:hAnsi="Arial" w:cs="Arial"/>
              <w:b/>
              <w:sz w:val="14"/>
              <w:szCs w:val="14"/>
            </w:rPr>
            <w:t>No.  LPN-CMOP-</w:t>
          </w:r>
          <w:r w:rsidR="000B024D">
            <w:rPr>
              <w:rFonts w:ascii="Arial" w:hAnsi="Arial" w:cs="Arial"/>
              <w:b/>
              <w:sz w:val="14"/>
              <w:szCs w:val="14"/>
            </w:rPr>
            <w:t>F</w:t>
          </w:r>
          <w:r w:rsidR="00FE7F27">
            <w:rPr>
              <w:rFonts w:ascii="Arial" w:hAnsi="Arial" w:cs="Arial"/>
              <w:b/>
              <w:sz w:val="14"/>
              <w:szCs w:val="14"/>
            </w:rPr>
            <w:t>ED</w:t>
          </w:r>
          <w:r w:rsidR="009D2359">
            <w:rPr>
              <w:rFonts w:ascii="Arial" w:hAnsi="Arial" w:cs="Arial"/>
              <w:b/>
              <w:sz w:val="14"/>
              <w:szCs w:val="14"/>
            </w:rPr>
            <w:t>-048</w:t>
          </w:r>
          <w:r w:rsidRPr="00D83DA1">
            <w:rPr>
              <w:rFonts w:ascii="Arial" w:hAnsi="Arial" w:cs="Arial"/>
              <w:b/>
              <w:sz w:val="14"/>
              <w:szCs w:val="14"/>
            </w:rPr>
            <w:t>/201</w:t>
          </w:r>
          <w:r>
            <w:rPr>
              <w:rFonts w:ascii="Arial" w:hAnsi="Arial" w:cs="Arial"/>
              <w:b/>
              <w:sz w:val="14"/>
              <w:szCs w:val="14"/>
            </w:rPr>
            <w:t>3</w:t>
          </w:r>
        </w:p>
        <w:p w:rsidR="001521FF" w:rsidRPr="00CD4067" w:rsidRDefault="001521FF" w:rsidP="00F0423B">
          <w:pPr>
            <w:pStyle w:val="Encabezado"/>
            <w:rPr>
              <w:sz w:val="16"/>
              <w:szCs w:val="16"/>
            </w:rPr>
          </w:pPr>
        </w:p>
      </w:tc>
    </w:tr>
  </w:tbl>
  <w:p w:rsidR="001521FF" w:rsidRPr="00CD4067" w:rsidRDefault="001521FF">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A7A14"/>
    <w:rsid w:val="000B024D"/>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BDF"/>
    <w:rsid w:val="001335DA"/>
    <w:rsid w:val="001338D2"/>
    <w:rsid w:val="0013629D"/>
    <w:rsid w:val="00145077"/>
    <w:rsid w:val="00146A5A"/>
    <w:rsid w:val="001521FF"/>
    <w:rsid w:val="001547F9"/>
    <w:rsid w:val="00160BBD"/>
    <w:rsid w:val="00167718"/>
    <w:rsid w:val="001707DA"/>
    <w:rsid w:val="00172F01"/>
    <w:rsid w:val="00174926"/>
    <w:rsid w:val="00175E36"/>
    <w:rsid w:val="001850F0"/>
    <w:rsid w:val="00185D01"/>
    <w:rsid w:val="00194BCD"/>
    <w:rsid w:val="001A2962"/>
    <w:rsid w:val="001A49CE"/>
    <w:rsid w:val="001B04F9"/>
    <w:rsid w:val="001B2BB9"/>
    <w:rsid w:val="001B398C"/>
    <w:rsid w:val="001B6A55"/>
    <w:rsid w:val="001B6FCA"/>
    <w:rsid w:val="001B790C"/>
    <w:rsid w:val="001B79C3"/>
    <w:rsid w:val="001C1AF1"/>
    <w:rsid w:val="001C49DB"/>
    <w:rsid w:val="001C6D1E"/>
    <w:rsid w:val="001E1691"/>
    <w:rsid w:val="001E1C9C"/>
    <w:rsid w:val="001E470B"/>
    <w:rsid w:val="001E7F90"/>
    <w:rsid w:val="001F0281"/>
    <w:rsid w:val="00206FD5"/>
    <w:rsid w:val="002113A4"/>
    <w:rsid w:val="002142EF"/>
    <w:rsid w:val="00217C0F"/>
    <w:rsid w:val="00225C88"/>
    <w:rsid w:val="00226D75"/>
    <w:rsid w:val="00230F6C"/>
    <w:rsid w:val="0023268C"/>
    <w:rsid w:val="00233B13"/>
    <w:rsid w:val="00233DB4"/>
    <w:rsid w:val="0025027D"/>
    <w:rsid w:val="002563F5"/>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B1BB3"/>
    <w:rsid w:val="002C14F8"/>
    <w:rsid w:val="002C5890"/>
    <w:rsid w:val="002D2B75"/>
    <w:rsid w:val="002E1039"/>
    <w:rsid w:val="002E4FB1"/>
    <w:rsid w:val="002E6333"/>
    <w:rsid w:val="002E6DCA"/>
    <w:rsid w:val="002F246B"/>
    <w:rsid w:val="002F6E1B"/>
    <w:rsid w:val="00301F57"/>
    <w:rsid w:val="003020C8"/>
    <w:rsid w:val="00304AD8"/>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1F34"/>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D609D"/>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64DD5"/>
    <w:rsid w:val="0047375D"/>
    <w:rsid w:val="004754A0"/>
    <w:rsid w:val="00481B9B"/>
    <w:rsid w:val="004852F9"/>
    <w:rsid w:val="00486851"/>
    <w:rsid w:val="00486BB6"/>
    <w:rsid w:val="00487B3A"/>
    <w:rsid w:val="0049300C"/>
    <w:rsid w:val="004970D3"/>
    <w:rsid w:val="004A091D"/>
    <w:rsid w:val="004A14F0"/>
    <w:rsid w:val="004A432C"/>
    <w:rsid w:val="004A6DA7"/>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354D"/>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53B05"/>
    <w:rsid w:val="00663502"/>
    <w:rsid w:val="006648E7"/>
    <w:rsid w:val="00664DC3"/>
    <w:rsid w:val="00666EDC"/>
    <w:rsid w:val="00672F08"/>
    <w:rsid w:val="00677AD8"/>
    <w:rsid w:val="0068043B"/>
    <w:rsid w:val="00680CFD"/>
    <w:rsid w:val="00684183"/>
    <w:rsid w:val="00687DC6"/>
    <w:rsid w:val="006917B9"/>
    <w:rsid w:val="006918CB"/>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05AEE"/>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6E4"/>
    <w:rsid w:val="007E3E65"/>
    <w:rsid w:val="007E5841"/>
    <w:rsid w:val="007F140A"/>
    <w:rsid w:val="007F31B1"/>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2371"/>
    <w:rsid w:val="008B5AE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0531"/>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62EC"/>
    <w:rsid w:val="009A72B3"/>
    <w:rsid w:val="009A7AE1"/>
    <w:rsid w:val="009A7DF7"/>
    <w:rsid w:val="009B42C7"/>
    <w:rsid w:val="009B754F"/>
    <w:rsid w:val="009C00DE"/>
    <w:rsid w:val="009C10A0"/>
    <w:rsid w:val="009C3274"/>
    <w:rsid w:val="009C350D"/>
    <w:rsid w:val="009C4332"/>
    <w:rsid w:val="009C540E"/>
    <w:rsid w:val="009D2359"/>
    <w:rsid w:val="009D2FF9"/>
    <w:rsid w:val="009D33E9"/>
    <w:rsid w:val="009D56D4"/>
    <w:rsid w:val="009D622B"/>
    <w:rsid w:val="009D7BE2"/>
    <w:rsid w:val="009D7F13"/>
    <w:rsid w:val="009E09E6"/>
    <w:rsid w:val="009E1C90"/>
    <w:rsid w:val="009E3156"/>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1AF8"/>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E64B6"/>
    <w:rsid w:val="00AF32B4"/>
    <w:rsid w:val="00AF40BA"/>
    <w:rsid w:val="00AF5BE3"/>
    <w:rsid w:val="00AF7301"/>
    <w:rsid w:val="00AF7AFE"/>
    <w:rsid w:val="00AF7C6D"/>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3DD9"/>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B26CD"/>
    <w:rsid w:val="00BC395C"/>
    <w:rsid w:val="00BC399B"/>
    <w:rsid w:val="00BC3DFF"/>
    <w:rsid w:val="00BC674C"/>
    <w:rsid w:val="00BC67AB"/>
    <w:rsid w:val="00BD0281"/>
    <w:rsid w:val="00BD1509"/>
    <w:rsid w:val="00BE0531"/>
    <w:rsid w:val="00BE1BC4"/>
    <w:rsid w:val="00BE2241"/>
    <w:rsid w:val="00BE5A1E"/>
    <w:rsid w:val="00BF5533"/>
    <w:rsid w:val="00C02053"/>
    <w:rsid w:val="00C022EE"/>
    <w:rsid w:val="00C1013C"/>
    <w:rsid w:val="00C1262F"/>
    <w:rsid w:val="00C1425D"/>
    <w:rsid w:val="00C15927"/>
    <w:rsid w:val="00C171E7"/>
    <w:rsid w:val="00C2085E"/>
    <w:rsid w:val="00C2475C"/>
    <w:rsid w:val="00C260F4"/>
    <w:rsid w:val="00C33093"/>
    <w:rsid w:val="00C33AB7"/>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C79"/>
    <w:rsid w:val="00D24F94"/>
    <w:rsid w:val="00D3205B"/>
    <w:rsid w:val="00D322BC"/>
    <w:rsid w:val="00D33FBB"/>
    <w:rsid w:val="00D34BC5"/>
    <w:rsid w:val="00D37DFD"/>
    <w:rsid w:val="00D40520"/>
    <w:rsid w:val="00D40FF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975AC"/>
    <w:rsid w:val="00DA0B11"/>
    <w:rsid w:val="00DA166A"/>
    <w:rsid w:val="00DB2E0B"/>
    <w:rsid w:val="00DB729F"/>
    <w:rsid w:val="00DC02ED"/>
    <w:rsid w:val="00DC17B7"/>
    <w:rsid w:val="00DC2A7F"/>
    <w:rsid w:val="00DC3ABE"/>
    <w:rsid w:val="00DD04D7"/>
    <w:rsid w:val="00DD23C6"/>
    <w:rsid w:val="00DD6674"/>
    <w:rsid w:val="00DD76DB"/>
    <w:rsid w:val="00DD7D60"/>
    <w:rsid w:val="00DE2ACC"/>
    <w:rsid w:val="00DE6DA9"/>
    <w:rsid w:val="00DF1DDE"/>
    <w:rsid w:val="00E010E4"/>
    <w:rsid w:val="00E046FB"/>
    <w:rsid w:val="00E12C07"/>
    <w:rsid w:val="00E1301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B7BA6"/>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6E53"/>
    <w:rsid w:val="00F22661"/>
    <w:rsid w:val="00F31125"/>
    <w:rsid w:val="00F31349"/>
    <w:rsid w:val="00F34A76"/>
    <w:rsid w:val="00F34EA4"/>
    <w:rsid w:val="00F37A92"/>
    <w:rsid w:val="00F4142C"/>
    <w:rsid w:val="00F42A1B"/>
    <w:rsid w:val="00F43501"/>
    <w:rsid w:val="00F537A1"/>
    <w:rsid w:val="00F55DDE"/>
    <w:rsid w:val="00F621CE"/>
    <w:rsid w:val="00F64200"/>
    <w:rsid w:val="00F65FBE"/>
    <w:rsid w:val="00F66855"/>
    <w:rsid w:val="00F67C86"/>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E7F27"/>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0B6B7-BE8A-4359-AECA-6F25EDEA1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12982</Words>
  <Characters>70297</Characters>
  <Application>Microsoft Office Word</Application>
  <DocSecurity>0</DocSecurity>
  <Lines>585</Lines>
  <Paragraphs>166</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2013-11-26T18:03:00Z</dcterms:created>
  <dcterms:modified xsi:type="dcterms:W3CDTF">2013-11-26T18:03:00Z</dcterms:modified>
</cp:coreProperties>
</file>